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 -->
  <w:body>
    <w:p w:rsidR="00000000" w:rsidRPr="0085464A" w:rsidP="00CE7BAE" w14:paraId="125C62F9" w14:textId="77777777">
      <w:r w:rsidRPr="0085464A">
        <w:rPr>
          <w:b/>
        </w:rPr>
        <w:t xml:space="preserve">Bağlı Olduğu Alt Süreç: </w:t>
      </w:r>
      <w:r w:rsidRPr="0085464A">
        <w:t>Öğrenci İşleri Alt Süreci</w:t>
      </w:r>
    </w:p>
    <w:p w:rsidR="00000000" w:rsidRPr="0085464A" w:rsidP="00CE7BAE" w14:paraId="7D4DA546" w14:textId="77777777">
      <w:pPr>
        <w:rPr>
          <w:b/>
        </w:rPr>
      </w:pPr>
      <w:r w:rsidRPr="0085464A">
        <w:rPr>
          <w:b/>
        </w:rPr>
        <w:t xml:space="preserve">Sürecin Sorumluları: </w:t>
      </w:r>
      <w:r w:rsidRPr="0085464A">
        <w:t>Öğrenci İşleri Daire Başkanı, Eğitim-Öğretim Şube Müdürü</w:t>
      </w:r>
    </w:p>
    <w:p w:rsidR="00000000" w:rsidRPr="0085464A" w:rsidP="00CE7BAE" w14:paraId="26CA6A53" w14:textId="77777777">
      <w:pPr>
        <w:rPr>
          <w:b/>
        </w:rPr>
      </w:pPr>
      <w:r w:rsidRPr="0085464A">
        <w:rPr>
          <w:b/>
        </w:rPr>
        <w:t>Sürecin Uygulayıcıları:</w:t>
      </w:r>
      <w:r w:rsidRPr="0085464A">
        <w:t xml:space="preserve"> Eğitim Öğretim Şube Müdürlüğü, Birim Öğrenci İşleri Sorumlusu</w:t>
      </w:r>
    </w:p>
    <w:p w:rsidR="00000000" w:rsidRPr="0085464A" w:rsidP="00CE7BAE" w14:paraId="3E5DC5FF" w14:textId="77777777">
      <w:pPr>
        <w:rPr>
          <w:color w:val="000000"/>
          <w:lang w:eastAsia="tr-TR"/>
        </w:rPr>
      </w:pPr>
      <w:r w:rsidRPr="0085464A">
        <w:rPr>
          <w:b/>
          <w:color w:val="000000"/>
          <w:lang w:eastAsia="tr-TR"/>
        </w:rPr>
        <w:t xml:space="preserve">Sürecin Amacı: </w:t>
      </w:r>
      <w:r w:rsidRPr="0085464A">
        <w:rPr>
          <w:color w:val="000000"/>
          <w:lang w:eastAsia="tr-TR"/>
        </w:rPr>
        <w:t>Öğrencinin,</w:t>
      </w:r>
      <w:r w:rsidRPr="0085464A">
        <w:rPr>
          <w:b/>
          <w:color w:val="000000"/>
          <w:lang w:eastAsia="tr-TR"/>
        </w:rPr>
        <w:t xml:space="preserve"> </w:t>
      </w:r>
      <w:r w:rsidRPr="0085464A">
        <w:rPr>
          <w:color w:val="000000"/>
          <w:lang w:eastAsia="tr-TR"/>
        </w:rPr>
        <w:t>daha önce başka bir yükseköğretim kurumunun öğrencisi iken alıp, başarılı olduğu derslerden üniversitemizde kayıt olduğu bölümün benzer derslerinden ders içeriklerinin uygun olması halinde muafiyetinin sağlanması ve daha önceki kurumda almış olduğu harf notunun transkriptine aktarılması</w:t>
      </w:r>
    </w:p>
    <w:p w:rsidR="00000000" w:rsidRPr="0085464A" w:rsidP="00CE7BAE" w14:paraId="2E81AB4B" w14:textId="77777777">
      <w:pPr>
        <w:rPr>
          <w:color w:val="000000"/>
          <w:sz w:val="28"/>
          <w:lang w:eastAsia="tr-TR"/>
        </w:rPr>
      </w:pPr>
      <w:r w:rsidRPr="0085464A">
        <w:rPr>
          <w:b/>
          <w:color w:val="000000"/>
          <w:lang w:eastAsia="tr-TR"/>
        </w:rPr>
        <w:t>Sürecin Girdileri:</w:t>
      </w:r>
      <w:r w:rsidRPr="0085464A">
        <w:rPr>
          <w:color w:val="000000"/>
          <w:sz w:val="28"/>
          <w:lang w:eastAsia="tr-TR"/>
        </w:rPr>
        <w:t xml:space="preserve"> </w:t>
      </w:r>
      <w:r w:rsidRPr="0085464A">
        <w:rPr>
          <w:szCs w:val="24"/>
          <w:lang w:eastAsia="tr-TR"/>
        </w:rPr>
        <w:t>Yükseköğretim Kurumlarında Önlisans ve Lisans Düzeyindeki Programlara Arasındaki Geçiş Çift Anadal Yandal ile Kurumlararası Kredi Transferleri Yapılması Esaslarına İlişkin Yönetmelik,</w:t>
      </w:r>
      <w:r w:rsidRPr="0085464A">
        <w:rPr>
          <w:sz w:val="28"/>
          <w:lang w:eastAsia="tr-TR"/>
        </w:rPr>
        <w:t xml:space="preserve"> </w:t>
      </w:r>
      <w:r w:rsidRPr="0085464A">
        <w:rPr>
          <w:lang w:eastAsia="tr-TR"/>
        </w:rPr>
        <w:t>SUBÜ Eğitim Öğretim ve Sınav Yönetmeliği, Başvuru Dilekçesi, Transkript, Ders İçerikleri</w:t>
      </w:r>
    </w:p>
    <w:p w:rsidR="00000000" w:rsidRPr="0085464A" w:rsidP="00CE7BAE" w14:paraId="3F95260D" w14:textId="77777777">
      <w:pPr>
        <w:rPr>
          <w:b/>
          <w:color w:val="000000"/>
          <w:lang w:eastAsia="tr-TR"/>
        </w:rPr>
      </w:pPr>
      <w:r w:rsidRPr="0085464A">
        <w:rPr>
          <w:b/>
          <w:color w:val="000000"/>
          <w:lang w:eastAsia="tr-TR"/>
        </w:rPr>
        <w:t>Sürecin Faaliyetleri:</w:t>
      </w:r>
    </w:p>
    <w:p w:rsidR="00000000" w:rsidRPr="0085464A" w:rsidP="00CE7BAE" w14:paraId="57E19757" w14:textId="77777777">
      <w:pPr>
        <w:pStyle w:val="Faaliyetler-1"/>
      </w:pPr>
      <w:r w:rsidRPr="0085464A">
        <w:t>Başka bir yükseköğretim kurumunun öğrencisi (halen kayıtlı, mezun, ilişiği kesilmiş vb.) iken, ÖSYM tarafından yapılan sınavlara girerek ya da yatay/dikey geçiş ile eşdeğer bölümlere kesin kaydını yaptıran öğrencilerin, ekinde öğrenim gördüğü ders içerikleri ve onaylı transkriptin yer aldığı bir dilekçe ile yerleştiği birime başvuru yapması</w:t>
      </w:r>
    </w:p>
    <w:p w:rsidR="00000000" w:rsidRPr="0085464A" w:rsidP="00CE7BAE" w14:paraId="0477BD8D" w14:textId="77777777">
      <w:pPr>
        <w:pStyle w:val="Faaliyetler-1"/>
      </w:pPr>
      <w:r w:rsidRPr="0085464A">
        <w:t>İlgili dönem koordinatörü ve anabilim dalı başkanlığı/bölüm başkanlığının ders muafiyet talebini (dilekçe, transkript, ders içerikleri) değerlendirmesi</w:t>
      </w:r>
    </w:p>
    <w:p w:rsidR="00000000" w:rsidRPr="0085464A" w:rsidP="00CE7BAE" w14:paraId="00AF6EA4" w14:textId="77777777">
      <w:pPr>
        <w:pStyle w:val="Faaliyetler-1"/>
      </w:pPr>
      <w:r w:rsidRPr="0085464A">
        <w:t>Başvuru uygun ise dilekçe ve eklerinin intibak ve muafiyet komisyonuna sevk edilmesi</w:t>
      </w:r>
    </w:p>
    <w:p w:rsidR="00000000" w:rsidRPr="0085464A" w:rsidP="00CE7BAE" w14:paraId="653447B1" w14:textId="77777777">
      <w:pPr>
        <w:pStyle w:val="Faaliyetler-1"/>
      </w:pPr>
      <w:r w:rsidRPr="0085464A">
        <w:t>Başvuru uygun değil ise gerekçenin yazı ile öğrenciye bildirilmesi</w:t>
      </w:r>
    </w:p>
    <w:p w:rsidR="00000000" w:rsidRPr="0085464A" w:rsidP="00CE7BAE" w14:paraId="21AF4166" w14:textId="77777777">
      <w:pPr>
        <w:pStyle w:val="Faaliyetler-1"/>
      </w:pPr>
      <w:r w:rsidRPr="0085464A">
        <w:t xml:space="preserve">İntibak ve muafiyet komisyonunun öğrencinin durumunu incelemesi, muafiyeti uygun görülen dersler ile öğrencinin hangi yarıyıla intibakının yapılacağına karar vermesi ve kararın yönetim kuruluna sevk edilmesi </w:t>
      </w:r>
    </w:p>
    <w:p w:rsidR="00000000" w:rsidRPr="0085464A" w:rsidP="00CE7BAE" w14:paraId="5B6C9ACE" w14:textId="77777777">
      <w:pPr>
        <w:pStyle w:val="Faaliyetler-1"/>
      </w:pPr>
      <w:r w:rsidRPr="0085464A">
        <w:t>İntibak ve muafiyet komisyonundan gelen evrakların yönetim kurulunda karara bağlanması ve kararın birim öğrenci işleri sorumlusuna gönderilmesi</w:t>
      </w:r>
    </w:p>
    <w:p w:rsidR="00000000" w:rsidRPr="0085464A" w:rsidP="00CE7BAE" w14:paraId="707BA5E0" w14:textId="77777777">
      <w:pPr>
        <w:pStyle w:val="Faaliyetler-1"/>
      </w:pPr>
      <w:r w:rsidRPr="0085464A">
        <w:t>İlgili kararın birim öğrenci işleri sorumlusu tarafından otomasyon sisteminin ilgili modülü üzerinden işlenmesi</w:t>
      </w:r>
    </w:p>
    <w:p w:rsidR="00000000" w:rsidRPr="0085464A" w:rsidP="00CE7BAE" w14:paraId="529788CC" w14:textId="77777777">
      <w:pPr>
        <w:pStyle w:val="Faaliyetler-1"/>
      </w:pPr>
      <w:r w:rsidRPr="0085464A">
        <w:t>Sonucun öğrenciye bildirilmesi ve ilgili belgelerin sicil dosyasına kaldırılması</w:t>
      </w:r>
    </w:p>
    <w:p w:rsidR="00000000" w:rsidRPr="0085464A" w:rsidP="00CE7BAE" w14:paraId="1A67CEDB" w14:textId="77777777">
      <w:pPr>
        <w:rPr>
          <w:lang w:eastAsia="tr-TR"/>
        </w:rPr>
      </w:pPr>
      <w:r w:rsidRPr="0085464A">
        <w:rPr>
          <w:b/>
          <w:lang w:eastAsia="tr-TR"/>
        </w:rPr>
        <w:t>Sürecin Çıktıları:</w:t>
      </w:r>
      <w:r w:rsidRPr="0085464A">
        <w:rPr>
          <w:lang w:eastAsia="tr-TR"/>
        </w:rPr>
        <w:t xml:space="preserve"> İntibak ve Muafiyet Komisyonu Kararları, Yönetim Kurulu Kararı</w:t>
      </w:r>
    </w:p>
    <w:p w:rsidR="00000000" w:rsidRPr="0085464A" w:rsidP="00CE7BAE" w14:paraId="1B776BBF" w14:textId="77777777">
      <w:pPr>
        <w:rPr>
          <w:b/>
          <w:lang w:eastAsia="tr-TR"/>
        </w:rPr>
      </w:pPr>
      <w:r w:rsidRPr="0085464A">
        <w:rPr>
          <w:b/>
          <w:lang w:eastAsia="tr-TR"/>
        </w:rPr>
        <w:t>Sürecin Performans Göstergeleri:</w:t>
      </w:r>
    </w:p>
    <w:p w:rsidR="00000000" w:rsidRPr="0085464A" w:rsidP="00CE7BAE" w14:paraId="4F6D3D1A" w14:textId="77777777">
      <w:pPr>
        <w:pStyle w:val="Maddeleme"/>
        <w:rPr>
          <w:lang w:eastAsia="tr-TR"/>
        </w:rPr>
      </w:pPr>
      <w:r w:rsidRPr="00830EB1">
        <w:rPr>
          <w:lang w:eastAsia="tr-TR"/>
        </w:rPr>
        <w:t>SPG.4.2.7.1 İşlemin Ortalama Tamamlanma Süresi</w:t>
      </w:r>
    </w:p>
    <w:p w:rsidR="00000000" w:rsidRPr="0085464A" w:rsidP="00CE7BAE" w14:paraId="2CCDE98F" w14:textId="77777777">
      <w:pPr>
        <w:pStyle w:val="Maddeleme"/>
      </w:pPr>
      <w:r w:rsidRPr="00830EB1">
        <w:t>SPG.4.2.7.2 Yapılan İntibak Sayısı</w:t>
      </w:r>
    </w:p>
    <w:p w:rsidR="00000000" w:rsidRPr="0085464A" w:rsidP="00CE7BAE" w14:paraId="7285E7FD" w14:textId="77777777">
      <w:r w:rsidRPr="0085464A">
        <w:rPr>
          <w:b/>
          <w:bCs/>
        </w:rPr>
        <w:t xml:space="preserve">Sürecin Müşterisi: </w:t>
      </w:r>
      <w:r w:rsidRPr="0085464A">
        <w:t>Öğrenciler</w:t>
      </w:r>
    </w:p>
    <w:p w:rsidR="00000000" w:rsidRPr="0085464A" w:rsidP="00CE7BAE" w14:paraId="1621DB56" w14:textId="77777777">
      <w:r w:rsidRPr="0085464A">
        <w:rPr>
          <w:b/>
          <w:bCs/>
        </w:rPr>
        <w:t xml:space="preserve">Sürecin Tedarikçisi: </w:t>
      </w:r>
      <w:r w:rsidRPr="0085464A">
        <w:t>Akademik ve İdari Birimler</w:t>
      </w:r>
    </w:p>
    <w:p w:rsidR="00000000" w:rsidRPr="0085464A" w:rsidP="00CE7BAE" w14:paraId="2BE820A0" w14:textId="77777777">
      <w:r w:rsidRPr="0085464A">
        <w:rPr>
          <w:b/>
          <w:bCs/>
          <w:szCs w:val="24"/>
        </w:rPr>
        <w:t xml:space="preserve">Süreci Tanımlayanlar: </w:t>
      </w:r>
      <w:r w:rsidRPr="0085464A">
        <w:rPr>
          <w:szCs w:val="24"/>
        </w:rPr>
        <w:t>Süreç Sorumlusu ve Uygulayıcıları, Süreç Yönetimi Çalışma Grubu</w:t>
      </w:r>
    </w:p>
    <w:p w:rsidR="00000000" w:rsidRPr="00E906E6" w:rsidP="00CE7BAE" w14:paraId="2486E1C8" w14:textId="7640A871">
      <w:pPr>
        <w:rPr>
          <w:b/>
          <w:bCs/>
        </w:rPr>
      </w:pPr>
      <w:r w:rsidRPr="0085464A">
        <w:br w:type="page"/>
      </w:r>
    </w:p>
    <w:p w:rsidR="00000000" w:rsidRPr="0085464A" w:rsidP="00CE7BAE" w14:paraId="65906A68" w14:textId="77777777">
      <w:pPr>
        <w:rPr>
          <w:color w:val="FF0000"/>
          <w:sz w:val="22"/>
        </w:rPr>
      </w:pPr>
      <w:r w:rsidRPr="0085464A">
        <w:rPr>
          <w:noProof/>
          <w:color w:val="FF0000"/>
          <w:sz w:val="22"/>
          <w:lang w:eastAsia="tr-TR"/>
        </w:rPr>
        <w:drawing>
          <wp:inline distT="0" distB="0" distL="0" distR="0">
            <wp:extent cx="5760720" cy="7675880"/>
            <wp:effectExtent l="0" t="0" r="0" b="1270"/>
            <wp:docPr id="80" name="Resim 80"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Resim 80" descr="metin, ekran görüntüsü, diyagram, paralel içeren bir resim&#10;&#10;Açıklama otomatik olarak oluşturuldu"/>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760720" cy="7675880"/>
                    </a:xfrm>
                    <a:prstGeom prst="rect">
                      <a:avLst/>
                    </a:prstGeom>
                  </pic:spPr>
                </pic:pic>
              </a:graphicData>
            </a:graphic>
          </wp:inline>
        </w:drawing>
      </w:r>
    </w:p>
    <w:p w:rsidR="00000000" w14:paraId="2252B302" w14:textId="77777777"/>
    <w:sectPr>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EC098A" w:rsidP="006F3C0B" w14:paraId="2792E171" w14:textId="77777777">
    <w:pPr>
      <w:pStyle w:val="Normal1"/>
      <w:rPr>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left-percent:-10001;mso-position-horizontal-relative:char;mso-position-vertical-relative:line;mso-top-percent:-10001" stroked="f">
          <v:textbox inset="0,0,0,0">
            <w:txbxContent>
              <w:p w:rsidR="00000000" w:rsidP="006F3C0B" w14:paraId="6B6333CE" w14:textId="77777777">
                <w:pPr>
                  <w:pStyle w:val="Normal1"/>
                  <w:jc w:val="center"/>
                </w:pPr>
                <w: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BD1C18" w:rsidP="00216C5A" w14:paraId="769815B3" w14:textId="77777777">
    <w:pPr>
      <w:pStyle w:val="Normal0"/>
    </w:pPr>
    <w:r>
      <w:rPr>
        <w:noProof/>
      </w:rPr>
      <w:pict>
        <v:shapetype id="_x0000_t202" coordsize="21600,21600" o:spt="202" path="m,l,21600r21600,l21600,xe">
          <v:stroke joinstyle="miter"/>
          <v:path gradientshapeok="t" o:connecttype="rect"/>
        </v:shapetype>
        <v:shape id="_x0000_i2049" type="#_x0000_t202" style="width:170.1pt;height:51pt;mso-left-percent:-10001;mso-position-horizontal-relative:char;mso-position-vertical-relative:line;mso-top-percent:-10001" stroked="f">
          <v:textbox inset="0,0,0,0">
            <w:txbxContent>
              <w:p w:rsidR="00000000" w:rsidP="00266EAE" w14:paraId="06FB283C" w14:textId="77777777">
                <w:pPr>
                  <w:pStyle w:val="Normal0"/>
                  <w:jc w:val="center"/>
                </w:pPr>
                <w:r>
                  <w:drawing>
                    <wp:inline>
                      <wp:extent cx="2160270" cy="59129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14:paraId="0FFF07CE" w14:textId="77777777"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000000" w:rsidRPr="00EC098A" w:rsidP="00EC098A" w14:paraId="43857C8C" w14:textId="77777777">
          <w:pPr>
            <w:pStyle w:val="Normal0"/>
            <w:rPr>
              <w:rFonts w:ascii="Calibri" w:hAnsi="Calibri" w:cs="Calibri"/>
              <w:sz w:val="16"/>
            </w:rPr>
          </w:pPr>
          <w:r w:rsidRPr="00EC098A">
            <w:rPr>
              <w:rFonts w:ascii="Calibri" w:hAnsi="Calibri" w:cs="Calibri"/>
              <w:sz w:val="16"/>
            </w:rPr>
            <w:t>Doküman No:</w:t>
          </w:r>
        </w:p>
      </w:tc>
      <w:tc>
        <w:tcPr>
          <w:tcW w:w="847" w:type="dxa"/>
          <w:shd w:val="clear" w:color="auto" w:fill="auto"/>
          <w:vAlign w:val="center"/>
        </w:tcPr>
        <w:p w:rsidR="00000000" w:rsidRPr="00EC098A" w:rsidP="00EC098A" w14:paraId="7307DEE6" w14:textId="77777777">
          <w:pPr>
            <w:pStyle w:val="Normal0"/>
            <w:rPr>
              <w:rFonts w:ascii="Calibri" w:hAnsi="Calibri" w:cs="Calibri"/>
              <w:sz w:val="16"/>
            </w:rPr>
          </w:pPr>
          <w:r w:rsidRPr="00EC098A">
            <w:rPr>
              <w:rFonts w:ascii="Calibri" w:hAnsi="Calibri" w:cs="Calibri"/>
              <w:sz w:val="16"/>
            </w:rPr>
            <w:t>KYS.SRC.4.002.007</w:t>
          </w:r>
        </w:p>
      </w:tc>
    </w:tr>
    <w:tr w14:paraId="2A8368C3"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45DB3331" w14:textId="77777777">
          <w:pPr>
            <w:pStyle w:val="Normal0"/>
            <w:rPr>
              <w:rFonts w:ascii="Calibri" w:hAnsi="Calibri" w:cs="Calibri"/>
              <w:sz w:val="16"/>
            </w:rPr>
          </w:pPr>
          <w:r w:rsidRPr="00EC098A">
            <w:rPr>
              <w:rFonts w:ascii="Calibri" w:hAnsi="Calibri" w:cs="Calibri"/>
              <w:sz w:val="16"/>
            </w:rPr>
            <w:t>İlk Yayın Tarihi:</w:t>
          </w:r>
        </w:p>
      </w:tc>
      <w:tc>
        <w:tcPr>
          <w:tcW w:w="847" w:type="dxa"/>
          <w:shd w:val="clear" w:color="auto" w:fill="auto"/>
          <w:vAlign w:val="center"/>
        </w:tcPr>
        <w:p w:rsidR="00000000" w:rsidRPr="00EC098A" w:rsidP="00EC098A" w14:paraId="0547B1FA" w14:textId="77777777">
          <w:pPr>
            <w:pStyle w:val="Normal0"/>
            <w:rPr>
              <w:rFonts w:ascii="Calibri" w:hAnsi="Calibri" w:cs="Calibri"/>
              <w:sz w:val="16"/>
            </w:rPr>
          </w:pPr>
          <w:r w:rsidRPr="00EC098A">
            <w:rPr>
              <w:rFonts w:ascii="Calibri" w:hAnsi="Calibri" w:cs="Calibri"/>
              <w:sz w:val="16"/>
            </w:rPr>
            <w:t>18.01.2024</w:t>
          </w:r>
        </w:p>
      </w:tc>
    </w:tr>
    <w:tr w14:paraId="43C128BF"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0E56C960" w14:textId="77777777">
          <w:pPr>
            <w:pStyle w:val="Normal0"/>
            <w:rPr>
              <w:rFonts w:ascii="Calibri" w:hAnsi="Calibri" w:cs="Calibri"/>
              <w:sz w:val="16"/>
            </w:rPr>
          </w:pPr>
          <w:r w:rsidRPr="00EC098A">
            <w:rPr>
              <w:rFonts w:ascii="Calibri" w:hAnsi="Calibri" w:cs="Calibri"/>
              <w:sz w:val="16"/>
            </w:rPr>
            <w:t>Revizyon Tarihi:</w:t>
          </w:r>
        </w:p>
      </w:tc>
      <w:tc>
        <w:tcPr>
          <w:tcW w:w="847" w:type="dxa"/>
          <w:shd w:val="clear" w:color="auto" w:fill="auto"/>
          <w:vAlign w:val="center"/>
        </w:tcPr>
        <w:p w:rsidR="00000000" w:rsidRPr="00EC098A" w:rsidP="00EC098A" w14:paraId="327814C2" w14:textId="77777777">
          <w:pPr>
            <w:pStyle w:val="Normal0"/>
            <w:rPr>
              <w:rFonts w:ascii="Calibri" w:hAnsi="Calibri" w:cs="Calibri"/>
              <w:sz w:val="16"/>
            </w:rPr>
          </w:pPr>
          <w:r w:rsidRPr="00EC098A">
            <w:rPr>
              <w:rFonts w:ascii="Calibri" w:hAnsi="Calibri" w:cs="Calibri"/>
              <w:sz w:val="16"/>
            </w:rPr>
            <w:t>18.01.2024</w:t>
          </w:r>
        </w:p>
      </w:tc>
    </w:tr>
    <w:tr w14:paraId="6859D0B3"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64451228" w14:textId="77777777">
          <w:pPr>
            <w:pStyle w:val="Normal0"/>
            <w:rPr>
              <w:rFonts w:ascii="Calibri" w:hAnsi="Calibri" w:cs="Calibri"/>
              <w:sz w:val="16"/>
            </w:rPr>
          </w:pPr>
          <w:r w:rsidRPr="00EC098A">
            <w:rPr>
              <w:rFonts w:ascii="Calibri" w:hAnsi="Calibri" w:cs="Calibri"/>
              <w:sz w:val="16"/>
            </w:rPr>
            <w:t>Revizyon No:</w:t>
          </w:r>
        </w:p>
      </w:tc>
      <w:tc>
        <w:tcPr>
          <w:tcW w:w="847" w:type="dxa"/>
          <w:shd w:val="clear" w:color="auto" w:fill="auto"/>
          <w:vAlign w:val="center"/>
        </w:tcPr>
        <w:p w:rsidR="00000000" w:rsidRPr="00EC098A" w:rsidP="00EC098A" w14:paraId="48D68284" w14:textId="77777777">
          <w:pPr>
            <w:pStyle w:val="Normal0"/>
            <w:rPr>
              <w:rFonts w:ascii="Calibri" w:hAnsi="Calibri" w:cs="Calibri"/>
              <w:sz w:val="16"/>
            </w:rPr>
          </w:pPr>
          <w:r w:rsidRPr="00EC098A">
            <w:rPr>
              <w:rFonts w:ascii="Calibri" w:hAnsi="Calibri" w:cs="Calibri"/>
              <w:sz w:val="16"/>
            </w:rPr>
            <w:t>0</w:t>
          </w:r>
        </w:p>
      </w:tc>
    </w:tr>
    <w:tr w14:paraId="57D7C08E"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58A85F8F" w14:textId="77777777">
          <w:pPr>
            <w:pStyle w:val="Normal0"/>
            <w:rPr>
              <w:rFonts w:ascii="Calibri" w:hAnsi="Calibri" w:cs="Calibri"/>
              <w:sz w:val="16"/>
            </w:rPr>
          </w:pPr>
          <w:r w:rsidRPr="00EC098A">
            <w:rPr>
              <w:rFonts w:ascii="Calibri" w:hAnsi="Calibri" w:cs="Calibri"/>
              <w:sz w:val="16"/>
            </w:rPr>
            <w:t>Sayfa:</w:t>
          </w:r>
        </w:p>
      </w:tc>
      <w:tc>
        <w:tcPr>
          <w:tcW w:w="847" w:type="dxa"/>
          <w:shd w:val="clear" w:color="auto" w:fill="auto"/>
          <w:vAlign w:val="center"/>
        </w:tcPr>
        <w:p w:rsidR="00000000" w:rsidRPr="00EC098A" w:rsidP="00EC098A" w14:paraId="4E66C671" w14:textId="77777777">
          <w:pPr>
            <w:pStyle w:val="Normal0"/>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NUMPAGES  \* Arabic  \* 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rsidR="00000000" w:rsidRPr="00EC098A" w:rsidP="003F3719" w14:paraId="0B02E9D2" w14:textId="77777777">
    <w:pPr>
      <w:pStyle w:val="Normal0"/>
      <w:tabs>
        <w:tab w:val="left" w:pos="1425"/>
      </w:tabs>
      <w:jc w:val="center"/>
      <w:rPr>
        <w:color w:val="000000"/>
        <w:sz w:val="28"/>
        <w:szCs w:val="28"/>
      </w:rPr>
    </w:pPr>
    <w:r w:rsidRPr="00EC098A">
      <w:rPr>
        <w:b/>
        <w:color w:val="000000"/>
        <w:sz w:val="28"/>
        <w:szCs w:val="28"/>
      </w:rPr>
      <w:t>MUAFİYET VE İNTİBAK İŞLEMLERİ ALT DETAY SÜRECİ</w:t>
    </w:r>
  </w:p>
  <w:p w:rsidR="00000000" w:rsidRPr="003F3719" w:rsidP="003F3719" w14:paraId="09D0D5CA" w14:textId="77777777">
    <w:pPr>
      <w:pStyle w:val="Normal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4771D"/>
    <w:multiLevelType w:val="hybridMultilevel"/>
    <w:tmpl w:val="77BAB4CA"/>
    <w:lvl w:ilvl="0">
      <w:start w:val="1"/>
      <w:numFmt w:val="bullet"/>
      <w:pStyle w:val="Maddeleme"/>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4A4289"/>
    <w:multiLevelType w:val="multilevel"/>
    <w:tmpl w:val="69AA146A"/>
    <w:lvl w:ilvl="0">
      <w:start w:val="1"/>
      <w:numFmt w:val="decimal"/>
      <w:pStyle w:val="Faaliyetler-1"/>
      <w:lvlText w:val="%1."/>
      <w:lvlJc w:val="left"/>
      <w:pPr>
        <w:ind w:left="360" w:hanging="360"/>
      </w:pPr>
      <w:rPr>
        <w:b w:val="0"/>
        <w:bCs w:val="0"/>
      </w:rPr>
    </w:lvl>
    <w:lvl w:ilvl="1">
      <w:start w:val="1"/>
      <w:numFmt w:val="decimal"/>
      <w:pStyle w:val="Faaliyetler-2"/>
      <w:lvlText w:val="%1.%2."/>
      <w:lvlJc w:val="left"/>
      <w:pPr>
        <w:ind w:left="1142" w:hanging="432"/>
      </w:pPr>
    </w:lvl>
    <w:lvl w:ilvl="2">
      <w:start w:val="1"/>
      <w:numFmt w:val="decimal"/>
      <w:pStyle w:val="Faaliyetl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440417">
    <w:abstractNumId w:val="0"/>
  </w:num>
  <w:num w:numId="2" w16cid:durableId="2057116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79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16"/>
    <w:rsid w:val="00216C5A"/>
    <w:rsid w:val="00266EAE"/>
    <w:rsid w:val="003F3719"/>
    <w:rsid w:val="006F3C0B"/>
    <w:rsid w:val="00830EB1"/>
    <w:rsid w:val="0085464A"/>
    <w:rsid w:val="00901C6A"/>
    <w:rsid w:val="00AF1F16"/>
    <w:rsid w:val="00BD1C18"/>
    <w:rsid w:val="00CE7BAE"/>
    <w:rsid w:val="00E906E6"/>
    <w:rsid w:val="00EC098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39D6BAEA"/>
  <w15:docId w15:val="{CE439408-9520-4AA0-8BD8-B4532C08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BAE"/>
    <w:pPr>
      <w:spacing w:after="120" w:line="240" w:lineRule="auto"/>
      <w:jc w:val="both"/>
    </w:pPr>
    <w:rPr>
      <w:rFonts w:ascii="Times New Roman" w:hAnsi="Times New Roman"/>
      <w:kern w:val="0"/>
      <w:sz w:val="24"/>
      <w14:ligatures w14:val="none"/>
    </w:rPr>
  </w:style>
  <w:style w:type="paragraph" w:styleId="Heading1">
    <w:name w:val="heading 1"/>
    <w:basedOn w:val="Normal"/>
    <w:next w:val="Normal"/>
    <w:link w:val="Balk1Char"/>
    <w:uiPriority w:val="9"/>
    <w:qFormat/>
    <w:rsid w:val="00ED56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Balk2Char"/>
    <w:uiPriority w:val="9"/>
    <w:semiHidden/>
    <w:unhideWhenUsed/>
    <w:qFormat/>
    <w:rsid w:val="00ED56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Balk3Char"/>
    <w:uiPriority w:val="9"/>
    <w:semiHidden/>
    <w:unhideWhenUsed/>
    <w:qFormat/>
    <w:rsid w:val="00ED56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Balk4Char"/>
    <w:uiPriority w:val="9"/>
    <w:semiHidden/>
    <w:unhideWhenUsed/>
    <w:qFormat/>
    <w:rsid w:val="00ED56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Balk5Char"/>
    <w:uiPriority w:val="9"/>
    <w:semiHidden/>
    <w:unhideWhenUsed/>
    <w:qFormat/>
    <w:rsid w:val="00ED56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Balk6Char"/>
    <w:uiPriority w:val="9"/>
    <w:semiHidden/>
    <w:unhideWhenUsed/>
    <w:qFormat/>
    <w:rsid w:val="00ED5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Balk7Char"/>
    <w:uiPriority w:val="9"/>
    <w:semiHidden/>
    <w:unhideWhenUsed/>
    <w:qFormat/>
    <w:rsid w:val="00ED5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Balk8Char"/>
    <w:uiPriority w:val="9"/>
    <w:semiHidden/>
    <w:unhideWhenUsed/>
    <w:qFormat/>
    <w:rsid w:val="00ED5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Balk9Char"/>
    <w:uiPriority w:val="9"/>
    <w:semiHidden/>
    <w:unhideWhenUsed/>
    <w:qFormat/>
    <w:rsid w:val="00ED5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ED56AF"/>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DefaultParagraphFont"/>
    <w:link w:val="Heading2"/>
    <w:uiPriority w:val="9"/>
    <w:semiHidden/>
    <w:rsid w:val="00ED56A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DefaultParagraphFont"/>
    <w:link w:val="Heading3"/>
    <w:uiPriority w:val="9"/>
    <w:semiHidden/>
    <w:rsid w:val="00ED56AF"/>
    <w:rPr>
      <w:rFonts w:eastAsiaTheme="majorEastAsia" w:cstheme="majorBidi"/>
      <w:color w:val="2E74B5" w:themeColor="accent1" w:themeShade="BF"/>
      <w:sz w:val="28"/>
      <w:szCs w:val="28"/>
    </w:rPr>
  </w:style>
  <w:style w:type="character" w:customStyle="1" w:styleId="Balk4Char">
    <w:name w:val="Başlık 4 Char"/>
    <w:basedOn w:val="DefaultParagraphFont"/>
    <w:link w:val="Heading4"/>
    <w:uiPriority w:val="9"/>
    <w:semiHidden/>
    <w:rsid w:val="00ED56AF"/>
    <w:rPr>
      <w:rFonts w:eastAsiaTheme="majorEastAsia" w:cstheme="majorBidi"/>
      <w:i/>
      <w:iCs/>
      <w:color w:val="2E74B5" w:themeColor="accent1" w:themeShade="BF"/>
    </w:rPr>
  </w:style>
  <w:style w:type="character" w:customStyle="1" w:styleId="Balk5Char">
    <w:name w:val="Başlık 5 Char"/>
    <w:basedOn w:val="DefaultParagraphFont"/>
    <w:link w:val="Heading5"/>
    <w:uiPriority w:val="9"/>
    <w:semiHidden/>
    <w:rsid w:val="00ED56AF"/>
    <w:rPr>
      <w:rFonts w:eastAsiaTheme="majorEastAsia" w:cstheme="majorBidi"/>
      <w:color w:val="2E74B5" w:themeColor="accent1" w:themeShade="BF"/>
    </w:rPr>
  </w:style>
  <w:style w:type="character" w:customStyle="1" w:styleId="Balk6Char">
    <w:name w:val="Başlık 6 Char"/>
    <w:basedOn w:val="DefaultParagraphFont"/>
    <w:link w:val="Heading6"/>
    <w:uiPriority w:val="9"/>
    <w:semiHidden/>
    <w:rsid w:val="00ED56AF"/>
    <w:rPr>
      <w:rFonts w:eastAsiaTheme="majorEastAsia" w:cstheme="majorBidi"/>
      <w:i/>
      <w:iCs/>
      <w:color w:val="595959" w:themeColor="text1" w:themeTint="A6"/>
    </w:rPr>
  </w:style>
  <w:style w:type="character" w:customStyle="1" w:styleId="Balk7Char">
    <w:name w:val="Başlık 7 Char"/>
    <w:basedOn w:val="DefaultParagraphFont"/>
    <w:link w:val="Heading7"/>
    <w:uiPriority w:val="9"/>
    <w:semiHidden/>
    <w:rsid w:val="00ED56AF"/>
    <w:rPr>
      <w:rFonts w:eastAsiaTheme="majorEastAsia" w:cstheme="majorBidi"/>
      <w:color w:val="595959" w:themeColor="text1" w:themeTint="A6"/>
    </w:rPr>
  </w:style>
  <w:style w:type="character" w:customStyle="1" w:styleId="Balk8Char">
    <w:name w:val="Başlık 8 Char"/>
    <w:basedOn w:val="DefaultParagraphFont"/>
    <w:link w:val="Heading8"/>
    <w:uiPriority w:val="9"/>
    <w:semiHidden/>
    <w:rsid w:val="00ED56AF"/>
    <w:rPr>
      <w:rFonts w:eastAsiaTheme="majorEastAsia" w:cstheme="majorBidi"/>
      <w:i/>
      <w:iCs/>
      <w:color w:val="272727" w:themeColor="text1" w:themeTint="D8"/>
    </w:rPr>
  </w:style>
  <w:style w:type="character" w:customStyle="1" w:styleId="Balk9Char">
    <w:name w:val="Başlık 9 Char"/>
    <w:basedOn w:val="DefaultParagraphFont"/>
    <w:link w:val="Heading9"/>
    <w:uiPriority w:val="9"/>
    <w:semiHidden/>
    <w:rsid w:val="00ED56AF"/>
    <w:rPr>
      <w:rFonts w:eastAsiaTheme="majorEastAsia" w:cstheme="majorBidi"/>
      <w:color w:val="272727" w:themeColor="text1" w:themeTint="D8"/>
    </w:rPr>
  </w:style>
  <w:style w:type="paragraph" w:styleId="Title">
    <w:name w:val="Title"/>
    <w:basedOn w:val="Normal"/>
    <w:next w:val="Normal"/>
    <w:link w:val="KonuBalChar"/>
    <w:uiPriority w:val="10"/>
    <w:qFormat/>
    <w:rsid w:val="00ED56A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DefaultParagraphFont"/>
    <w:link w:val="Title"/>
    <w:uiPriority w:val="10"/>
    <w:rsid w:val="00ED56AF"/>
    <w:rPr>
      <w:rFonts w:asciiTheme="majorHAnsi" w:eastAsiaTheme="majorEastAsia" w:hAnsiTheme="majorHAnsi" w:cstheme="majorBidi"/>
      <w:spacing w:val="-10"/>
      <w:kern w:val="28"/>
      <w:sz w:val="56"/>
      <w:szCs w:val="56"/>
    </w:rPr>
  </w:style>
  <w:style w:type="paragraph" w:styleId="Subtitle">
    <w:name w:val="Subtitle"/>
    <w:basedOn w:val="Normal"/>
    <w:next w:val="Normal"/>
    <w:link w:val="AltyazChar"/>
    <w:uiPriority w:val="11"/>
    <w:qFormat/>
    <w:rsid w:val="00ED56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DefaultParagraphFont"/>
    <w:link w:val="Subtitle"/>
    <w:uiPriority w:val="11"/>
    <w:rsid w:val="00ED56AF"/>
    <w:rPr>
      <w:rFonts w:eastAsiaTheme="majorEastAsia" w:cstheme="majorBidi"/>
      <w:color w:val="595959" w:themeColor="text1" w:themeTint="A6"/>
      <w:spacing w:val="15"/>
      <w:sz w:val="28"/>
      <w:szCs w:val="28"/>
    </w:rPr>
  </w:style>
  <w:style w:type="paragraph" w:styleId="Quote">
    <w:name w:val="Quote"/>
    <w:basedOn w:val="Normal"/>
    <w:next w:val="Normal"/>
    <w:link w:val="AlntChar"/>
    <w:uiPriority w:val="29"/>
    <w:qFormat/>
    <w:rsid w:val="00ED56AF"/>
    <w:pPr>
      <w:spacing w:before="160"/>
      <w:jc w:val="center"/>
    </w:pPr>
    <w:rPr>
      <w:i/>
      <w:iCs/>
      <w:color w:val="404040" w:themeColor="text1" w:themeTint="BF"/>
    </w:rPr>
  </w:style>
  <w:style w:type="character" w:customStyle="1" w:styleId="AlntChar">
    <w:name w:val="Alıntı Char"/>
    <w:basedOn w:val="DefaultParagraphFont"/>
    <w:link w:val="Quote"/>
    <w:uiPriority w:val="29"/>
    <w:rsid w:val="00ED56AF"/>
    <w:rPr>
      <w:i/>
      <w:iCs/>
      <w:color w:val="404040" w:themeColor="text1" w:themeTint="BF"/>
    </w:rPr>
  </w:style>
  <w:style w:type="paragraph" w:styleId="ListParagraph">
    <w:name w:val="List Paragraph"/>
    <w:basedOn w:val="Normal"/>
    <w:uiPriority w:val="34"/>
    <w:qFormat/>
    <w:rsid w:val="00ED56AF"/>
    <w:pPr>
      <w:ind w:left="720"/>
      <w:contextualSpacing/>
    </w:pPr>
  </w:style>
  <w:style w:type="character" w:styleId="IntenseEmphasis">
    <w:name w:val="Intense Emphasis"/>
    <w:basedOn w:val="DefaultParagraphFont"/>
    <w:uiPriority w:val="21"/>
    <w:qFormat/>
    <w:rsid w:val="00ED56AF"/>
    <w:rPr>
      <w:i/>
      <w:iCs/>
      <w:color w:val="2E74B5" w:themeColor="accent1" w:themeShade="BF"/>
    </w:rPr>
  </w:style>
  <w:style w:type="paragraph" w:styleId="IntenseQuote">
    <w:name w:val="Intense Quote"/>
    <w:basedOn w:val="Normal"/>
    <w:next w:val="Normal"/>
    <w:link w:val="GlAlntChar"/>
    <w:uiPriority w:val="30"/>
    <w:qFormat/>
    <w:rsid w:val="00ED56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DefaultParagraphFont"/>
    <w:link w:val="IntenseQuote"/>
    <w:uiPriority w:val="30"/>
    <w:rsid w:val="00ED56AF"/>
    <w:rPr>
      <w:i/>
      <w:iCs/>
      <w:color w:val="2E74B5" w:themeColor="accent1" w:themeShade="BF"/>
    </w:rPr>
  </w:style>
  <w:style w:type="character" w:styleId="IntenseReference">
    <w:name w:val="Intense Reference"/>
    <w:basedOn w:val="DefaultParagraphFont"/>
    <w:uiPriority w:val="32"/>
    <w:qFormat/>
    <w:rsid w:val="00ED56AF"/>
    <w:rPr>
      <w:b/>
      <w:bCs/>
      <w:smallCaps/>
      <w:color w:val="2E74B5" w:themeColor="accent1" w:themeShade="BF"/>
      <w:spacing w:val="5"/>
    </w:rPr>
  </w:style>
  <w:style w:type="paragraph" w:customStyle="1" w:styleId="Maddeleme">
    <w:name w:val="Maddeleme"/>
    <w:basedOn w:val="ListParagraph"/>
    <w:uiPriority w:val="1"/>
    <w:qFormat/>
    <w:rsid w:val="00CE7BAE"/>
    <w:pPr>
      <w:numPr>
        <w:numId w:val="1"/>
      </w:numPr>
      <w:tabs>
        <w:tab w:val="left" w:pos="851"/>
      </w:tabs>
      <w:contextualSpacing w:val="0"/>
    </w:pPr>
    <w:rPr>
      <w:rFonts w:cs="Times New Roman"/>
    </w:rPr>
  </w:style>
  <w:style w:type="paragraph" w:customStyle="1" w:styleId="Faaliyetler-1">
    <w:name w:val="Faaliyetler-1"/>
    <w:basedOn w:val="ListParagraph"/>
    <w:qFormat/>
    <w:rsid w:val="00CE7BAE"/>
    <w:pPr>
      <w:numPr>
        <w:numId w:val="2"/>
      </w:numPr>
      <w:contextualSpacing w:val="0"/>
    </w:pPr>
    <w:rPr>
      <w:rFonts w:cs="Times New Roman"/>
      <w:szCs w:val="24"/>
    </w:rPr>
  </w:style>
  <w:style w:type="paragraph" w:customStyle="1" w:styleId="Faaliyetler-2">
    <w:name w:val="Faaliyetler-2"/>
    <w:basedOn w:val="Faaliyetler-1"/>
    <w:qFormat/>
    <w:rsid w:val="00CE7BAE"/>
    <w:pPr>
      <w:numPr>
        <w:ilvl w:val="1"/>
      </w:numPr>
      <w:ind w:left="993"/>
    </w:pPr>
  </w:style>
  <w:style w:type="paragraph" w:customStyle="1" w:styleId="Faaliyetler-3">
    <w:name w:val="Faaliyetler-3"/>
    <w:basedOn w:val="Faaliyetler-1"/>
    <w:qFormat/>
    <w:rsid w:val="00CE7BAE"/>
    <w:pPr>
      <w:numPr>
        <w:ilvl w:val="2"/>
      </w:numPr>
      <w:ind w:left="1701" w:hanging="708"/>
    </w:pPr>
  </w:style>
  <w:style w:type="paragraph" w:customStyle="1" w:styleId="Normal0">
    <w:name w:val="Normal_0"/>
    <w:qFormat/>
    <w:rsid w:val="00FB4867"/>
    <w:pPr>
      <w:spacing w:after="0" w:line="240" w:lineRule="auto"/>
    </w:pPr>
    <w:rPr>
      <w:rFonts w:ascii="Times New Roman" w:eastAsia="Times New Roman" w:hAnsi="Times New Roman" w:cs="Times New Roman"/>
      <w:kern w:val="0"/>
      <w:sz w:val="24"/>
      <w:szCs w:val="24"/>
      <w:lang w:eastAsia="tr-TR"/>
      <w14:ligatures w14:val="none"/>
    </w:rPr>
  </w:style>
  <w:style w:type="paragraph" w:customStyle="1" w:styleId="Normal1">
    <w:name w:val="Normal_1"/>
    <w:qFormat/>
    <w:rsid w:val="00FB4867"/>
    <w:pPr>
      <w:spacing w:after="0"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2044</Characters>
  <Application>Microsoft Office Word</Application>
  <DocSecurity>0</DocSecurity>
  <Lines>17</Lines>
  <Paragraphs>4</Paragraphs>
  <ScaleCrop>false</ScaleCrop>
  <Company>Sakarya University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UMUT</dc:creator>
  <cp:lastModifiedBy>Fevzettin AYDIN</cp:lastModifiedBy>
  <cp:revision>3</cp:revision>
  <dcterms:created xsi:type="dcterms:W3CDTF">2024-01-12T08:28:00Z</dcterms:created>
  <dcterms:modified xsi:type="dcterms:W3CDTF">2024-01-22T10:41:00Z</dcterms:modified>
</cp:coreProperties>
</file>